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3D59" w14:textId="321454DF" w:rsidR="00015EA9" w:rsidRDefault="00015EA9" w:rsidP="009D49E2">
      <w:pPr>
        <w:jc w:val="center"/>
        <w:rPr>
          <w:rFonts w:ascii="LeanOSans FY" w:hAnsi="LeanOSans FY"/>
          <w:b/>
          <w:bCs/>
          <w:sz w:val="24"/>
          <w:szCs w:val="24"/>
        </w:rPr>
      </w:pPr>
      <w:r>
        <w:rPr>
          <w:rFonts w:ascii="LeanOSans FY" w:hAnsi="LeanOSans FY"/>
          <w:b/>
          <w:bCs/>
          <w:sz w:val="24"/>
          <w:szCs w:val="24"/>
        </w:rPr>
        <w:t xml:space="preserve">INFORME FIABILIS CHILE </w:t>
      </w:r>
    </w:p>
    <w:p w14:paraId="2FE386BB" w14:textId="77777777" w:rsidR="00015EA9" w:rsidRDefault="00015EA9" w:rsidP="009D49E2">
      <w:pPr>
        <w:jc w:val="center"/>
        <w:rPr>
          <w:rFonts w:ascii="LeanOSans FY" w:hAnsi="LeanOSans FY"/>
          <w:b/>
          <w:bCs/>
          <w:sz w:val="24"/>
          <w:szCs w:val="24"/>
        </w:rPr>
      </w:pPr>
    </w:p>
    <w:p w14:paraId="4A5A5820" w14:textId="389E6709" w:rsidR="00E634D5" w:rsidRPr="009D49E2" w:rsidRDefault="009D49E2" w:rsidP="009D49E2">
      <w:pPr>
        <w:jc w:val="center"/>
        <w:rPr>
          <w:rFonts w:ascii="LeanOSans FY" w:hAnsi="LeanOSans FY"/>
          <w:b/>
          <w:bCs/>
          <w:sz w:val="24"/>
          <w:szCs w:val="24"/>
        </w:rPr>
      </w:pPr>
      <w:r w:rsidRPr="009D49E2">
        <w:rPr>
          <w:rFonts w:ascii="LeanOSans FY" w:hAnsi="LeanOSans FY"/>
          <w:b/>
          <w:bCs/>
          <w:sz w:val="24"/>
          <w:szCs w:val="24"/>
        </w:rPr>
        <w:t>Ley de Delitos Económicos: Multas a empresas y las consecuencias del no pago de cotizaciones</w:t>
      </w:r>
    </w:p>
    <w:p w14:paraId="0682D358" w14:textId="29572B6A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Si bien</w:t>
      </w:r>
      <w:r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 este proyecto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 se viene discutiendo desde el 2020, recién este año se formalizó la norma y es que ahora los delitos de “cuello y corbata” como se les conoce, ya tendrán una regularización más severa.</w:t>
      </w:r>
    </w:p>
    <w:p w14:paraId="186C7304" w14:textId="77777777" w:rsidR="009D49E2" w:rsidRP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63F280DA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En esta línea, este 17 de agosto se publicó en el Diario Oficial la Ley </w:t>
      </w:r>
      <w:proofErr w:type="spellStart"/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N°</w:t>
      </w:r>
      <w:proofErr w:type="spellEnd"/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 21.295 sobre delitos económicos, la cual comenzó a estar en vigencia desde este 1 de septiembre del 2023.</w:t>
      </w:r>
    </w:p>
    <w:p w14:paraId="72632E41" w14:textId="77777777" w:rsidR="009D49E2" w:rsidRP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694619A3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Esta norma se basa principalmente en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sistematizar delitos económicos y atentados contra el medio ambiente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 y, además, ampliar la responsabilidad penal en comparación a como se estaba realizando anteriormente.</w:t>
      </w:r>
    </w:p>
    <w:p w14:paraId="28DF9DE3" w14:textId="77777777" w:rsidR="009D49E2" w:rsidRP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41527861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Lo que se busca con esta ley es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proteger el orden económico en nuestro país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 y también, tal como se menciona en el </w:t>
      </w:r>
      <w:hyperlink r:id="rId5" w:history="1">
        <w:r w:rsidRPr="009D49E2">
          <w:rPr>
            <w:rFonts w:ascii="LeanOSans FY" w:eastAsia="Times New Roman" w:hAnsi="LeanOSans FY" w:cs="Poppins"/>
            <w:color w:val="1D3D61"/>
            <w:kern w:val="0"/>
            <w:bdr w:val="none" w:sz="0" w:space="0" w:color="auto" w:frame="1"/>
            <w:lang w:eastAsia="es-CL"/>
            <w14:ligatures w14:val="none"/>
          </w:rPr>
          <w:t>sitio web</w:t>
        </w:r>
      </w:hyperlink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 del Ministerio de Justicia y de Derechos Humanos,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combatir la impunidad económica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, a través de imposiciones de mayores exigencias a personas jurídicas.</w:t>
      </w:r>
    </w:p>
    <w:p w14:paraId="3FE22047" w14:textId="77777777" w:rsidR="009D49E2" w:rsidRP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13E0E5E0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Si es que se llega a incumplir esta ley, los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requisitos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 para llevar a cabo la sanción correspondiente, serían los siguientes:</w:t>
      </w:r>
    </w:p>
    <w:p w14:paraId="6D710741" w14:textId="77777777" w:rsidR="009D49E2" w:rsidRP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35DF848A" w14:textId="77777777" w:rsidR="009D49E2" w:rsidRPr="009D49E2" w:rsidRDefault="009D49E2" w:rsidP="009D49E2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Se imputa a las medianas y grandes empresas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, quedando excluidas las pequeñas y micro empresas.</w:t>
      </w:r>
    </w:p>
    <w:p w14:paraId="6AA2D477" w14:textId="77777777" w:rsidR="009D49E2" w:rsidRPr="009D49E2" w:rsidRDefault="009D49E2" w:rsidP="009D49E2">
      <w:pPr>
        <w:spacing w:after="0" w:line="276" w:lineRule="auto"/>
        <w:ind w:left="720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5AEC6485" w14:textId="77777777" w:rsidR="009D49E2" w:rsidRPr="009D49E2" w:rsidRDefault="009D49E2" w:rsidP="009D49E2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Que el delito sea cometido por una persona natural que ocupe un cargo o función en la organización o sea un tercero intermediario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 (como por ejemplo un proveedor externo). En este caso, puede quedar absuelta la persona natural, pero igualmente se podría condenar a la empresa. </w:t>
      </w:r>
    </w:p>
    <w:p w14:paraId="22460BC9" w14:textId="77777777" w:rsidR="009D49E2" w:rsidRP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39D9199C" w14:textId="77777777" w:rsidR="009D49E2" w:rsidRPr="009D49E2" w:rsidRDefault="009D49E2" w:rsidP="009D49E2">
      <w:pPr>
        <w:numPr>
          <w:ilvl w:val="0"/>
          <w:numId w:val="1"/>
        </w:numPr>
        <w:spacing w:after="10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El hecho debe haberse favorecido por la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falta de implementación de un Modelo de Prevención de Delitos.</w:t>
      </w:r>
    </w:p>
    <w:p w14:paraId="58B84099" w14:textId="09EAD8AB" w:rsidR="009D49E2" w:rsidRPr="009D49E2" w:rsidRDefault="009D49E2" w:rsidP="009D49E2">
      <w:pPr>
        <w:spacing w:after="10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672C2D22" w14:textId="5CBE39FB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color w:val="052047"/>
          <w:kern w:val="0"/>
          <w:bdr w:val="none" w:sz="0" w:space="0" w:color="auto" w:frame="1"/>
          <w:lang w:eastAsia="es-CL"/>
          <w14:ligatures w14:val="none"/>
        </w:rPr>
      </w:pPr>
      <w:r>
        <w:rPr>
          <w:rFonts w:ascii="LeanOSans FY" w:eastAsia="Times New Roman" w:hAnsi="LeanOSans FY" w:cs="Poppins"/>
          <w:color w:val="052047"/>
          <w:kern w:val="0"/>
          <w:bdr w:val="none" w:sz="0" w:space="0" w:color="auto" w:frame="1"/>
          <w:lang w:eastAsia="es-CL"/>
          <w14:ligatures w14:val="none"/>
        </w:rPr>
        <w:t>Categoría de los Delitos Económicos</w:t>
      </w:r>
    </w:p>
    <w:p w14:paraId="45EF2C26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color w:val="052047"/>
          <w:kern w:val="0"/>
          <w:bdr w:val="none" w:sz="0" w:space="0" w:color="auto" w:frame="1"/>
          <w:lang w:eastAsia="es-CL"/>
          <w14:ligatures w14:val="none"/>
        </w:rPr>
      </w:pPr>
    </w:p>
    <w:p w14:paraId="3A3F617D" w14:textId="1ACE10C2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Para reconocer si es que lo </w:t>
      </w:r>
      <w:r w:rsidR="00C45823"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que,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 si la acción corresponde o no a un delito económico, se debe tener presente las siguientes cuatro categorías:</w:t>
      </w:r>
    </w:p>
    <w:p w14:paraId="01D7F5F9" w14:textId="77777777" w:rsidR="009D49E2" w:rsidRP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13165AD8" w14:textId="4A1404DD" w:rsidR="009D49E2" w:rsidRPr="009D49E2" w:rsidRDefault="009D49E2" w:rsidP="00C45823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lastRenderedPageBreak/>
        <w:t>Primera categoría: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 Corresponden a los delitos económicos. Se refieren a los delitos bancarios y </w:t>
      </w:r>
      <w:r w:rsidR="00C45823"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en contra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 al Mercado de Valores.</w:t>
      </w:r>
    </w:p>
    <w:p w14:paraId="09A38338" w14:textId="77777777" w:rsidR="009D49E2" w:rsidRPr="009D49E2" w:rsidRDefault="009D49E2" w:rsidP="009D49E2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Segunda categoría:</w:t>
      </w:r>
      <w:r w:rsidRPr="009D49E2">
        <w:rPr>
          <w:rFonts w:ascii="LeanOSans FY" w:eastAsia="Times New Roman" w:hAnsi="LeanOSans FY" w:cs="Poppins"/>
          <w:kern w:val="0"/>
          <w:lang w:eastAsia="es-CL"/>
          <w14:ligatures w14:val="none"/>
        </w:rPr>
        <w:t> Se refiere a los que s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on ilícitos considerados “económicos” cuando son sometidos en el ejercicio de un cargo, función o posición dentro de una empresa o cuando se cometieron en beneficio de la misma. Por ejemplo, delitos tributarios y contra el medio ambiente.</w:t>
      </w:r>
    </w:p>
    <w:p w14:paraId="4CC77B96" w14:textId="77777777" w:rsidR="009D49E2" w:rsidRPr="009D49E2" w:rsidRDefault="009D49E2" w:rsidP="009D49E2">
      <w:pPr>
        <w:spacing w:after="0" w:line="276" w:lineRule="auto"/>
        <w:ind w:left="720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60EDC2E6" w14:textId="77777777" w:rsidR="009D49E2" w:rsidRPr="009D49E2" w:rsidRDefault="009D49E2" w:rsidP="009D49E2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Tercera categoría: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 Son los cometidos por un funcionario público, siempre que hubiese intervenido en él alguien en ejercicio de un cargo, función o posición de una empresa o en beneficio de la misma. En estos se encuentran los delitos de malversación de caudales públicos y cohecho.</w:t>
      </w:r>
    </w:p>
    <w:p w14:paraId="0B6AC7CF" w14:textId="77777777" w:rsidR="009D49E2" w:rsidRP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74E9DFD2" w14:textId="1BDBB6C6" w:rsidR="00C45823" w:rsidRPr="00C45823" w:rsidRDefault="009D49E2" w:rsidP="00C45823">
      <w:pPr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Cuarta categoría: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 Delitos de lavado de activos y receptación cuando tengan como base algún delito considerado económico.</w:t>
      </w:r>
    </w:p>
    <w:p w14:paraId="5ECEFA15" w14:textId="77777777" w:rsidR="00C45823" w:rsidRDefault="00C45823" w:rsidP="009D49E2">
      <w:pPr>
        <w:spacing w:after="0" w:line="276" w:lineRule="auto"/>
        <w:jc w:val="both"/>
        <w:textAlignment w:val="baseline"/>
        <w:outlineLvl w:val="3"/>
        <w:rPr>
          <w:rFonts w:ascii="LeanOSans FY" w:eastAsia="Times New Roman" w:hAnsi="LeanOSans FY" w:cs="Poppins"/>
          <w:color w:val="052047"/>
          <w:kern w:val="0"/>
          <w:bdr w:val="none" w:sz="0" w:space="0" w:color="auto" w:frame="1"/>
          <w:lang w:eastAsia="es-CL"/>
          <w14:ligatures w14:val="none"/>
        </w:rPr>
      </w:pPr>
    </w:p>
    <w:p w14:paraId="0EAE0AB2" w14:textId="51E87B4C" w:rsidR="009D49E2" w:rsidRDefault="009D49E2" w:rsidP="009D49E2">
      <w:pPr>
        <w:spacing w:after="0" w:line="276" w:lineRule="auto"/>
        <w:jc w:val="both"/>
        <w:textAlignment w:val="baseline"/>
        <w:outlineLvl w:val="3"/>
        <w:rPr>
          <w:rFonts w:ascii="LeanOSans FY" w:eastAsia="Times New Roman" w:hAnsi="LeanOSans FY" w:cs="Poppins"/>
          <w:color w:val="052047"/>
          <w:kern w:val="0"/>
          <w:bdr w:val="none" w:sz="0" w:space="0" w:color="auto" w:frame="1"/>
          <w:lang w:eastAsia="es-CL"/>
          <w14:ligatures w14:val="none"/>
        </w:rPr>
      </w:pPr>
      <w:r>
        <w:rPr>
          <w:rFonts w:ascii="LeanOSans FY" w:eastAsia="Times New Roman" w:hAnsi="LeanOSans FY" w:cs="Poppins"/>
          <w:color w:val="052047"/>
          <w:kern w:val="0"/>
          <w:bdr w:val="none" w:sz="0" w:space="0" w:color="auto" w:frame="1"/>
          <w:lang w:eastAsia="es-CL"/>
          <w14:ligatures w14:val="none"/>
        </w:rPr>
        <w:t>¿Cómo es la multa a estos delitos</w:t>
      </w:r>
      <w:r w:rsidR="00C45823">
        <w:rPr>
          <w:rFonts w:ascii="LeanOSans FY" w:eastAsia="Times New Roman" w:hAnsi="LeanOSans FY" w:cs="Poppins"/>
          <w:color w:val="052047"/>
          <w:kern w:val="0"/>
          <w:bdr w:val="none" w:sz="0" w:space="0" w:color="auto" w:frame="1"/>
          <w:lang w:eastAsia="es-CL"/>
          <w14:ligatures w14:val="none"/>
        </w:rPr>
        <w:t>?</w:t>
      </w:r>
    </w:p>
    <w:p w14:paraId="19B96245" w14:textId="77777777" w:rsidR="00C45823" w:rsidRPr="009D49E2" w:rsidRDefault="00C45823" w:rsidP="009D49E2">
      <w:pPr>
        <w:spacing w:after="0" w:line="276" w:lineRule="auto"/>
        <w:jc w:val="both"/>
        <w:textAlignment w:val="baseline"/>
        <w:outlineLvl w:val="3"/>
        <w:rPr>
          <w:rFonts w:ascii="LeanOSans FY" w:eastAsia="Times New Roman" w:hAnsi="LeanOSans FY" w:cs="Poppins"/>
          <w:color w:val="052047"/>
          <w:kern w:val="0"/>
          <w:lang w:eastAsia="es-CL"/>
          <w14:ligatures w14:val="none"/>
        </w:rPr>
      </w:pPr>
    </w:p>
    <w:p w14:paraId="4E5FAC0B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Es relevante tener presente que, quienes incumplan esta ley y realicen un delito relacionado a los descritos anteriormente, se les presentará una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pena de multa, la cual se calculará un sistema de “días-multa”.</w:t>
      </w:r>
    </w:p>
    <w:p w14:paraId="0E9EBABF" w14:textId="77777777" w:rsidR="00C45823" w:rsidRPr="009D49E2" w:rsidRDefault="00C45823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4757FD09" w14:textId="7A6EE083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Esto quiere decir que el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monto total de la multa que se tendrá que pagar será proporcional a los ingresos de la persona que está siendo sancionada.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 Así, tal como explica el Gobierno de Chile, “la multa es proporcional a la gravedad del delito (por el número de días-multa que se asigna) y “afecta” de manera proporcional a quienes tienen más o menos ingresos”.</w:t>
      </w:r>
    </w:p>
    <w:p w14:paraId="6BCC69BC" w14:textId="77777777" w:rsidR="00C45823" w:rsidRPr="009D49E2" w:rsidRDefault="00C45823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15931059" w14:textId="77777777" w:rsidR="009D49E2" w:rsidRP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Por último, las multas no serán las únicas respuestas a estos hechos, sino que también estarán presente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 tres</w:t>
      </w:r>
      <w:r w:rsidRPr="009D49E2">
        <w:rPr>
          <w:rFonts w:ascii="LeanOSans FY" w:eastAsia="Times New Roman" w:hAnsi="LeanOSans FY" w:cs="Poppins"/>
          <w:kern w:val="0"/>
          <w:lang w:eastAsia="es-CL"/>
          <w14:ligatures w14:val="none"/>
        </w:rPr>
        <w:t>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inhabilitaciones especiales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 que deberán imponerse cuando se realice un delito económico, las cuales se basarán en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inhabilitación para el ejercicio de una función o cargo público, para el ejercicio de cargos gerenciales y para contratar con el Estado.</w:t>
      </w:r>
    </w:p>
    <w:p w14:paraId="45E6E426" w14:textId="77777777" w:rsidR="009D49E2" w:rsidRDefault="009D49E2" w:rsidP="009D49E2">
      <w:pPr>
        <w:spacing w:after="0" w:line="276" w:lineRule="auto"/>
        <w:jc w:val="both"/>
        <w:textAlignment w:val="baseline"/>
        <w:outlineLvl w:val="3"/>
        <w:rPr>
          <w:rFonts w:ascii="LeanOSans FY" w:eastAsia="Times New Roman" w:hAnsi="LeanOSans FY" w:cs="Poppins"/>
          <w:color w:val="052047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color w:val="052047"/>
          <w:kern w:val="0"/>
          <w:bdr w:val="none" w:sz="0" w:space="0" w:color="auto" w:frame="1"/>
          <w:lang w:eastAsia="es-CL"/>
          <w14:ligatures w14:val="none"/>
        </w:rPr>
        <w:t>La Ley incluye a las cotizaciones</w:t>
      </w:r>
    </w:p>
    <w:p w14:paraId="74A146DE" w14:textId="77777777" w:rsidR="00C45823" w:rsidRPr="009D49E2" w:rsidRDefault="00C45823" w:rsidP="009D49E2">
      <w:pPr>
        <w:spacing w:after="0" w:line="276" w:lineRule="auto"/>
        <w:jc w:val="both"/>
        <w:textAlignment w:val="baseline"/>
        <w:outlineLvl w:val="3"/>
        <w:rPr>
          <w:rFonts w:ascii="LeanOSans FY" w:eastAsia="Times New Roman" w:hAnsi="LeanOSans FY" w:cs="Poppins"/>
          <w:color w:val="052047"/>
          <w:kern w:val="0"/>
          <w:lang w:eastAsia="es-CL"/>
          <w14:ligatures w14:val="none"/>
        </w:rPr>
      </w:pPr>
    </w:p>
    <w:p w14:paraId="45CB5A06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Tal como se sabe, en </w:t>
      </w:r>
      <w:proofErr w:type="spellStart"/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Fiabilis</w:t>
      </w:r>
      <w:proofErr w:type="spellEnd"/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 Chile ayudamos a analizar los pagos previsionales de la nómina de nuestros clientes, lo cual también está relacionada con la ley, puesto que también regularizará el correcto pago de las cotizaciones.</w:t>
      </w:r>
    </w:p>
    <w:p w14:paraId="37453CCD" w14:textId="77777777" w:rsidR="00C45823" w:rsidRPr="009D49E2" w:rsidRDefault="00C45823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25497851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Esta ley de delitos económicos modificó la Ley N°17.322 que establece las normas para la cobranza judicial de cotizaciones, aportes y multas de las instituciones de seguridad social. </w:t>
      </w:r>
    </w:p>
    <w:p w14:paraId="377A9DA9" w14:textId="77777777" w:rsidR="00C45823" w:rsidRPr="009D49E2" w:rsidRDefault="00C45823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0E9970A1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Ahora se incorporará una sanción al empleador que, tal como se explica en la ley, «se sancionará al empleador que, sin el consentimiento del trabajador, omita retener o enterar las cotizaciones previsionales de un trabajador o declare ante las instituciones de seguridad social, pagarle una renta 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lastRenderedPageBreak/>
        <w:t>imponible o bruta menor a la real, disminuyendo el monto de las cotizaciones que debe descontar y enterar. La conducta será sancionada igualmente, si el consentimiento del trabajador ha sido obtenido por el empleador con abuso grave de su situación de necesidad, inexperiencia o incapacidad de discernimiento». </w:t>
      </w:r>
    </w:p>
    <w:p w14:paraId="5760D50B" w14:textId="77777777" w:rsidR="00C45823" w:rsidRPr="009D49E2" w:rsidRDefault="00C45823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2F82829E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En esta línea, al no hacer el pago de las cotizaciones, tal como se menciona, el empleador arriesga a diferentes tipos de multas y denuncias por parte del trabajador, las cuales son las siguientes de acuerdo a un artículo de </w:t>
      </w:r>
      <w:hyperlink r:id="rId6" w:history="1">
        <w:r w:rsidRPr="009D49E2">
          <w:rPr>
            <w:rFonts w:ascii="LeanOSans FY" w:eastAsia="Times New Roman" w:hAnsi="LeanOSans FY" w:cs="Poppins"/>
            <w:color w:val="1D3D61"/>
            <w:kern w:val="0"/>
            <w:bdr w:val="none" w:sz="0" w:space="0" w:color="auto" w:frame="1"/>
            <w:lang w:eastAsia="es-CL"/>
            <w14:ligatures w14:val="none"/>
          </w:rPr>
          <w:t>Mis Abogados Laborales</w:t>
        </w:r>
      </w:hyperlink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:</w:t>
      </w:r>
    </w:p>
    <w:p w14:paraId="18C44CBA" w14:textId="77777777" w:rsidR="00C45823" w:rsidRPr="009D49E2" w:rsidRDefault="00C45823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3CD9AEBB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1.- El trabajador puede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 interponer una denuncia en la Inspección del Trabajo,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 quienes son los encargados de cursar la multa y que, si se es que no se llega a cumplir, pasaría a tomarse acciones en el Juzgado del Trabajo.</w:t>
      </w:r>
    </w:p>
    <w:p w14:paraId="1501412F" w14:textId="77777777" w:rsidR="00C45823" w:rsidRPr="009D49E2" w:rsidRDefault="00C45823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061112C8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2.-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Denunciar la falta de pago de cotizaciones en la AFP, su Isapre o a Fonasa, o a la Administradora de Fondos de Cesantía (AFC)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, para que </w:t>
      </w:r>
      <w:proofErr w:type="gramStart"/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éstas</w:t>
      </w:r>
      <w:proofErr w:type="gramEnd"/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 entidades inicien las acciones de cobranza hacia el empleador moroso.</w:t>
      </w:r>
    </w:p>
    <w:p w14:paraId="4ADF71DC" w14:textId="77777777" w:rsidR="00C45823" w:rsidRPr="009D49E2" w:rsidRDefault="00C45823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580A23C6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3.- En el caso de que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existan cotizaciones impagas y se desea dejar de trabajar con el empleador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, pero no perder tus indemnizaciones, la opción sería un </w:t>
      </w:r>
      <w:proofErr w:type="spellStart"/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autodespido</w:t>
      </w:r>
      <w:proofErr w:type="spellEnd"/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 xml:space="preserve"> por no pago de cotizaciones.</w:t>
      </w:r>
    </w:p>
    <w:p w14:paraId="54CEC63D" w14:textId="77777777" w:rsidR="00C45823" w:rsidRPr="009D49E2" w:rsidRDefault="00C45823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</w:p>
    <w:p w14:paraId="180B47B6" w14:textId="77777777" w:rsidR="009D49E2" w:rsidRDefault="009D49E2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Los empleadores deben tener presente </w:t>
      </w:r>
      <w:proofErr w:type="gramStart"/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que</w:t>
      </w:r>
      <w:proofErr w:type="gramEnd"/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 al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no pagar las cotizaciones de sus trabajadores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, tiene la obligación de declarar las cotizaciones no pagadas dentro de los 10 primeros días hábiles del mes siguiente. Esto es lo que se conoce como DNP (Declaración y No Pago). Asimismo, si es que esta acción no se llega a realizar o se hace de forma errónea, el empleador o empleadora se arriesga a una </w:t>
      </w: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multa de beneficio fiscal de 0.75 UF</w:t>
      </w:r>
      <w:r w:rsidRPr="009D49E2"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 por cada trabajadora o trabajador afectado.</w:t>
      </w:r>
    </w:p>
    <w:p w14:paraId="2E7F0B16" w14:textId="77777777" w:rsidR="00C45823" w:rsidRDefault="00C45823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</w:pPr>
    </w:p>
    <w:p w14:paraId="567B1BA8" w14:textId="5DA123E4" w:rsidR="00C45823" w:rsidRPr="009D49E2" w:rsidRDefault="00C45823" w:rsidP="009D49E2">
      <w:pPr>
        <w:spacing w:after="0" w:line="276" w:lineRule="auto"/>
        <w:jc w:val="both"/>
        <w:textAlignment w:val="baseline"/>
        <w:rPr>
          <w:rFonts w:ascii="LeanOSans FY" w:eastAsia="Times New Roman" w:hAnsi="LeanOSans FY" w:cs="Poppins"/>
          <w:smallCaps/>
          <w:kern w:val="0"/>
          <w:lang w:eastAsia="es-CL"/>
          <w14:ligatures w14:val="none"/>
        </w:rPr>
      </w:pPr>
      <w:r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En octubre del 2023, </w:t>
      </w:r>
      <w:proofErr w:type="spellStart"/>
      <w:r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Fiabilis</w:t>
      </w:r>
      <w:proofErr w:type="spellEnd"/>
      <w:r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 Chile junto con </w:t>
      </w:r>
      <w:proofErr w:type="spellStart"/>
      <w:r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>Albornoz&amp;Cía</w:t>
      </w:r>
      <w:proofErr w:type="spellEnd"/>
      <w:r>
        <w:rPr>
          <w:rFonts w:ascii="LeanOSans FY" w:eastAsia="Times New Roman" w:hAnsi="LeanOSans FY" w:cs="Poppins"/>
          <w:kern w:val="0"/>
          <w:bdr w:val="none" w:sz="0" w:space="0" w:color="auto" w:frame="1"/>
          <w:lang w:eastAsia="es-CL"/>
          <w14:ligatures w14:val="none"/>
        </w:rPr>
        <w:t xml:space="preserve">., organizó un conversatorio sobre la Ley de Delitos Económicos, en el que contó con destacados ponentes relacionados a esta norma: Carlos Gajardo, Matías Walker, Marcelo Albornoz, Sergio Hernández, Isidora Marín y nuestra directora general adjunta, Loreto Castillo. Te invitamos a revivir el conversatorio, donde se hablaron sobre las diferentes aristas de la ley. Puedes verlo en este </w:t>
      </w:r>
      <w:hyperlink r:id="rId7" w:history="1">
        <w:r w:rsidRPr="00C45823">
          <w:rPr>
            <w:rStyle w:val="Hipervnculo"/>
            <w:rFonts w:ascii="LeanOSans FY" w:eastAsia="Times New Roman" w:hAnsi="LeanOSans FY" w:cs="Poppins"/>
            <w:b/>
            <w:bCs/>
            <w:kern w:val="0"/>
            <w:bdr w:val="none" w:sz="0" w:space="0" w:color="auto" w:frame="1"/>
            <w:lang w:eastAsia="es-CL"/>
            <w14:ligatures w14:val="none"/>
          </w:rPr>
          <w:t>link.</w:t>
        </w:r>
      </w:hyperlink>
    </w:p>
    <w:p w14:paraId="2803FD3E" w14:textId="77777777" w:rsidR="009D49E2" w:rsidRPr="009D49E2" w:rsidRDefault="009D49E2" w:rsidP="009D49E2">
      <w:pPr>
        <w:spacing w:after="100" w:line="276" w:lineRule="auto"/>
        <w:jc w:val="both"/>
        <w:textAlignment w:val="baseline"/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</w:pPr>
    </w:p>
    <w:p w14:paraId="03CAD05C" w14:textId="059B0B0F" w:rsidR="009D49E2" w:rsidRPr="009D49E2" w:rsidRDefault="009D49E2" w:rsidP="009D49E2">
      <w:pPr>
        <w:spacing w:after="100" w:line="276" w:lineRule="auto"/>
        <w:jc w:val="both"/>
        <w:textAlignment w:val="baseline"/>
        <w:rPr>
          <w:rFonts w:ascii="LeanOSans FY" w:eastAsia="Times New Roman" w:hAnsi="LeanOSans FY" w:cs="Poppins"/>
          <w:kern w:val="0"/>
          <w:lang w:eastAsia="es-CL"/>
          <w14:ligatures w14:val="none"/>
        </w:rPr>
      </w:pPr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Fuentes: </w:t>
      </w:r>
      <w:hyperlink r:id="rId8" w:history="1">
        <w:r w:rsidRPr="009D49E2">
          <w:rPr>
            <w:rFonts w:ascii="LeanOSans FY" w:eastAsia="Times New Roman" w:hAnsi="LeanOSans FY" w:cs="Poppins"/>
            <w:b/>
            <w:bCs/>
            <w:color w:val="1D3D61"/>
            <w:kern w:val="0"/>
            <w:bdr w:val="none" w:sz="0" w:space="0" w:color="auto" w:frame="1"/>
            <w:lang w:eastAsia="es-CL"/>
            <w14:ligatures w14:val="none"/>
          </w:rPr>
          <w:t>Diario Constitucional</w:t>
        </w:r>
      </w:hyperlink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, </w:t>
      </w:r>
      <w:hyperlink r:id="rId9" w:history="1">
        <w:r w:rsidRPr="009D49E2">
          <w:rPr>
            <w:rFonts w:ascii="LeanOSans FY" w:eastAsia="Times New Roman" w:hAnsi="LeanOSans FY" w:cs="Poppins"/>
            <w:b/>
            <w:bCs/>
            <w:color w:val="1D3D61"/>
            <w:kern w:val="0"/>
            <w:bdr w:val="none" w:sz="0" w:space="0" w:color="auto" w:frame="1"/>
            <w:lang w:eastAsia="es-CL"/>
            <w14:ligatures w14:val="none"/>
          </w:rPr>
          <w:t>Gobierno de Chile</w:t>
        </w:r>
      </w:hyperlink>
      <w:r w:rsidRPr="009D49E2">
        <w:rPr>
          <w:rFonts w:ascii="LeanOSans FY" w:eastAsia="Times New Roman" w:hAnsi="LeanOSans FY" w:cs="Poppins"/>
          <w:b/>
          <w:bCs/>
          <w:kern w:val="0"/>
          <w:bdr w:val="none" w:sz="0" w:space="0" w:color="auto" w:frame="1"/>
          <w:lang w:eastAsia="es-CL"/>
          <w14:ligatures w14:val="none"/>
        </w:rPr>
        <w:t> y</w:t>
      </w:r>
      <w:hyperlink r:id="rId10" w:history="1">
        <w:r w:rsidRPr="009D49E2">
          <w:rPr>
            <w:rFonts w:ascii="LeanOSans FY" w:eastAsia="Times New Roman" w:hAnsi="LeanOSans FY" w:cs="Poppins"/>
            <w:b/>
            <w:bCs/>
            <w:color w:val="1D3D61"/>
            <w:kern w:val="0"/>
            <w:bdr w:val="none" w:sz="0" w:space="0" w:color="auto" w:frame="1"/>
            <w:lang w:eastAsia="es-CL"/>
            <w14:ligatures w14:val="none"/>
          </w:rPr>
          <w:t> Biblioteca del Congreso.</w:t>
        </w:r>
      </w:hyperlink>
    </w:p>
    <w:p w14:paraId="391F8BF7" w14:textId="77777777" w:rsidR="009D49E2" w:rsidRPr="009D49E2" w:rsidRDefault="009D49E2" w:rsidP="009D49E2">
      <w:pPr>
        <w:spacing w:line="276" w:lineRule="auto"/>
        <w:jc w:val="both"/>
        <w:rPr>
          <w:rFonts w:ascii="LeanOSans FY" w:hAnsi="LeanOSans FY"/>
        </w:rPr>
      </w:pPr>
    </w:p>
    <w:sectPr w:rsidR="009D49E2" w:rsidRPr="009D49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anOSans FY">
    <w:altName w:val="Calibri"/>
    <w:panose1 w:val="00000000000000000000"/>
    <w:charset w:val="00"/>
    <w:family w:val="modern"/>
    <w:notTrueType/>
    <w:pitch w:val="variable"/>
    <w:sig w:usb0="A00000AF" w:usb1="5000604B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7F0E"/>
    <w:multiLevelType w:val="multilevel"/>
    <w:tmpl w:val="24A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6324D"/>
    <w:multiLevelType w:val="multilevel"/>
    <w:tmpl w:val="CE7C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46990856">
    <w:abstractNumId w:val="0"/>
  </w:num>
  <w:num w:numId="2" w16cid:durableId="877733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E2"/>
    <w:rsid w:val="00015EA9"/>
    <w:rsid w:val="008C374B"/>
    <w:rsid w:val="009D49E2"/>
    <w:rsid w:val="00C45823"/>
    <w:rsid w:val="00E634D5"/>
    <w:rsid w:val="00E91032"/>
    <w:rsid w:val="00F8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E2C5"/>
  <w15:chartTrackingRefBased/>
  <w15:docId w15:val="{B93F3AEB-621F-428B-A6A0-930DADCC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9D49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s-C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9D49E2"/>
    <w:rPr>
      <w:rFonts w:ascii="Times New Roman" w:eastAsia="Times New Roman" w:hAnsi="Times New Roman" w:cs="Times New Roman"/>
      <w:b/>
      <w:bCs/>
      <w:kern w:val="0"/>
      <w:sz w:val="24"/>
      <w:szCs w:val="24"/>
      <w:lang w:eastAsia="es-C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D4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9D49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D49E2"/>
    <w:rPr>
      <w:b/>
      <w:bCs/>
    </w:rPr>
  </w:style>
  <w:style w:type="paragraph" w:styleId="Prrafodelista">
    <w:name w:val="List Paragraph"/>
    <w:basedOn w:val="Normal"/>
    <w:uiPriority w:val="34"/>
    <w:qFormat/>
    <w:rsid w:val="009D49E2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C45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864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6835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07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cl/noticias/claves-ley-delitos-economicos-medioambientales-cuello-corbata-pena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0DeJgsq6w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sabogadoslaborales.cl/que-pasa-si-mi-empleador-no-paga-mis-cotizacione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injusticia.gob.cl/ley-delitos-economicos/" TargetMode="External"/><Relationship Id="rId10" Type="http://schemas.openxmlformats.org/officeDocument/2006/relationships/hyperlink" Target="https://www.bcn.cl/leychile/navegar?idNorma=11951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b.cl/noticias/claves-ley-delitos-economicos-medioambientales-cuello-corbata-pena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5956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Bravo</dc:creator>
  <cp:keywords/>
  <dc:description/>
  <cp:lastModifiedBy>Carolina Lathrop</cp:lastModifiedBy>
  <cp:revision>2</cp:revision>
  <dcterms:created xsi:type="dcterms:W3CDTF">2024-02-27T21:41:00Z</dcterms:created>
  <dcterms:modified xsi:type="dcterms:W3CDTF">2024-02-27T21:41:00Z</dcterms:modified>
</cp:coreProperties>
</file>